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C" w:rsidRPr="00CE55EA" w:rsidRDefault="00FA4E3C">
      <w:pPr>
        <w:rPr>
          <w:b/>
          <w:color w:val="00B0F0"/>
        </w:rPr>
      </w:pPr>
      <w:r>
        <w:rPr>
          <w:b/>
          <w:color w:val="00B0F0"/>
        </w:rPr>
        <w:t>LAB AUTORELEASE 1.0 V7</w:t>
      </w:r>
      <w:r w:rsidR="00AA29AC" w:rsidRPr="00CE55EA">
        <w:rPr>
          <w:b/>
          <w:color w:val="00B0F0"/>
        </w:rPr>
        <w:t xml:space="preserve"> Modifications</w:t>
      </w:r>
    </w:p>
    <w:p w:rsidR="00AA29AC" w:rsidRDefault="00AA29A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8730"/>
      </w:tblGrid>
      <w:tr w:rsidR="0043584C" w:rsidRPr="0043584C" w:rsidTr="00AA29AC">
        <w:tc>
          <w:tcPr>
            <w:tcW w:w="2088" w:type="dxa"/>
          </w:tcPr>
          <w:p w:rsidR="0043584C" w:rsidRPr="0043584C" w:rsidRDefault="0043584C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3584C">
              <w:rPr>
                <w:rFonts w:ascii="Courier New" w:hAnsi="Courier New" w:cs="Courier New"/>
                <w:sz w:val="20"/>
                <w:szCs w:val="20"/>
              </w:rPr>
              <w:t>Routine</w:t>
            </w:r>
          </w:p>
        </w:tc>
        <w:tc>
          <w:tcPr>
            <w:tcW w:w="8730" w:type="dxa"/>
          </w:tcPr>
          <w:p w:rsidR="0043584C" w:rsidRPr="0043584C" w:rsidRDefault="0043584C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3584C">
              <w:rPr>
                <w:rFonts w:ascii="Courier New" w:hAnsi="Courier New" w:cs="Courier New"/>
                <w:sz w:val="20"/>
                <w:szCs w:val="20"/>
              </w:rPr>
              <w:t>Modification</w:t>
            </w:r>
          </w:p>
        </w:tc>
      </w:tr>
      <w:tr w:rsidR="0043584C" w:rsidRPr="0043584C" w:rsidTr="00AA29AC">
        <w:tc>
          <w:tcPr>
            <w:tcW w:w="2088" w:type="dxa"/>
          </w:tcPr>
          <w:p w:rsidR="0043584C" w:rsidRDefault="00FA4E3C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LA88</w:t>
            </w:r>
          </w:p>
          <w:p w:rsidR="00FA4E3C" w:rsidRPr="0043584C" w:rsidRDefault="00FA4E3C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LA88A</w:t>
            </w:r>
          </w:p>
        </w:tc>
        <w:tc>
          <w:tcPr>
            <w:tcW w:w="8730" w:type="dxa"/>
          </w:tcPr>
          <w:p w:rsidR="0043584C" w:rsidRPr="0043584C" w:rsidRDefault="00FA4E3C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The </w:t>
            </w:r>
            <w:r w:rsidR="000E47B1">
              <w:rPr>
                <w:rFonts w:ascii="Courier New" w:hAnsi="Courier New" w:cs="Courier New"/>
                <w:sz w:val="20"/>
                <w:szCs w:val="20"/>
              </w:rPr>
              <w:t xml:space="preserve">pre-install </w:t>
            </w:r>
            <w:r>
              <w:rPr>
                <w:rFonts w:ascii="Courier New" w:hAnsi="Courier New" w:cs="Courier New"/>
                <w:sz w:val="20"/>
                <w:szCs w:val="20"/>
              </w:rPr>
              <w:t>questions pertaining to updating LAB UI 1.6 to HL7 2.5.1 were moved from the</w:t>
            </w:r>
            <w:r w:rsidR="000E47B1">
              <w:rPr>
                <w:rFonts w:ascii="Courier New" w:hAnsi="Courier New" w:cs="Courier New"/>
                <w:sz w:val="20"/>
                <w:szCs w:val="20"/>
              </w:rPr>
              <w:t xml:space="preserve"> p</w:t>
            </w:r>
            <w:r>
              <w:rPr>
                <w:rFonts w:ascii="Courier New" w:hAnsi="Courier New" w:cs="Courier New"/>
                <w:sz w:val="20"/>
                <w:szCs w:val="20"/>
              </w:rPr>
              <w:t>re-install routine (and defined install questions portion of the KID build) to the Environment</w:t>
            </w:r>
            <w:r w:rsidR="000E47B1">
              <w:rPr>
                <w:rFonts w:ascii="Courier New" w:hAnsi="Courier New" w:cs="Courier New"/>
                <w:sz w:val="20"/>
                <w:szCs w:val="20"/>
              </w:rPr>
              <w:t xml:space="preserve"> check routine.  This enables an aborted install to be restarted using the Install Package option.</w:t>
            </w:r>
          </w:p>
        </w:tc>
      </w:tr>
      <w:tr w:rsidR="0043584C" w:rsidRPr="000E47B1" w:rsidTr="00AA29AC">
        <w:tc>
          <w:tcPr>
            <w:tcW w:w="2088" w:type="dxa"/>
          </w:tcPr>
          <w:p w:rsidR="0043584C" w:rsidRDefault="000E47B1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LA7UCFG</w:t>
            </w:r>
          </w:p>
          <w:p w:rsidR="000E47B1" w:rsidRPr="0043584C" w:rsidRDefault="000E47B1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LA7UCFG1</w:t>
            </w:r>
          </w:p>
        </w:tc>
        <w:tc>
          <w:tcPr>
            <w:tcW w:w="8730" w:type="dxa"/>
          </w:tcPr>
          <w:p w:rsidR="0043584C" w:rsidRPr="000E47B1" w:rsidRDefault="000E47B1" w:rsidP="000E47B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E47B1">
              <w:rPr>
                <w:rFonts w:ascii="Courier New" w:hAnsi="Courier New" w:cs="Courier New"/>
                <w:sz w:val="20"/>
                <w:szCs w:val="20"/>
              </w:rPr>
              <w:t>A new option, ‘</w:t>
            </w:r>
            <w:r w:rsidRPr="000E47B1">
              <w:rPr>
                <w:rFonts w:ascii="Courier New" w:hAnsi="Courier New" w:cs="Courier New"/>
                <w:sz w:val="20"/>
                <w:szCs w:val="20"/>
              </w:rPr>
              <w:t>Convert LAB UI 1.6 to Enhanced Acknowledgement Mode</w:t>
            </w:r>
            <w:r w:rsidRPr="000E47B1">
              <w:rPr>
                <w:rFonts w:ascii="Courier New" w:hAnsi="Courier New" w:cs="Courier New"/>
                <w:sz w:val="20"/>
                <w:szCs w:val="20"/>
              </w:rPr>
              <w:t>’, has been added to the ‘</w:t>
            </w:r>
            <w:r w:rsidRPr="000E47B1">
              <w:rPr>
                <w:rFonts w:ascii="Courier New" w:hAnsi="Courier New" w:cs="Courier New"/>
                <w:sz w:val="20"/>
                <w:szCs w:val="20"/>
              </w:rPr>
              <w:t>Lab Universal Interface Setup</w:t>
            </w:r>
            <w:r w:rsidRPr="000E47B1">
              <w:rPr>
                <w:rFonts w:ascii="Courier New" w:hAnsi="Courier New" w:cs="Courier New"/>
                <w:sz w:val="20"/>
                <w:szCs w:val="20"/>
              </w:rPr>
              <w:t>’ menu.  This option will enable enhanced acknowledgement mode for LAB UI 1.6.</w:t>
            </w:r>
          </w:p>
        </w:tc>
      </w:tr>
      <w:tr w:rsidR="0043584C" w:rsidRPr="0043584C" w:rsidTr="00AA29AC">
        <w:tc>
          <w:tcPr>
            <w:tcW w:w="2088" w:type="dxa"/>
          </w:tcPr>
          <w:p w:rsidR="0043584C" w:rsidRPr="0043584C" w:rsidRDefault="00E21DDA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LRVRAR</w:t>
            </w:r>
          </w:p>
        </w:tc>
        <w:tc>
          <w:tcPr>
            <w:tcW w:w="8730" w:type="dxa"/>
          </w:tcPr>
          <w:p w:rsidR="0043584C" w:rsidRPr="0043584C" w:rsidRDefault="00E21DDA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Corrects falsely triggered rejection for tests not resulted on a panel for a subsequent message that should have been accepted and auto-released.</w:t>
            </w:r>
          </w:p>
        </w:tc>
      </w:tr>
      <w:tr w:rsidR="0043584C" w:rsidRPr="0043584C" w:rsidTr="00AA29AC">
        <w:tc>
          <w:tcPr>
            <w:tcW w:w="2088" w:type="dxa"/>
          </w:tcPr>
          <w:p w:rsidR="0043584C" w:rsidRPr="0043584C" w:rsidRDefault="0043584C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730" w:type="dxa"/>
          </w:tcPr>
          <w:p w:rsidR="0043584C" w:rsidRPr="0043584C" w:rsidRDefault="0043584C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3584C" w:rsidRPr="0043584C" w:rsidTr="00AA29AC">
        <w:tc>
          <w:tcPr>
            <w:tcW w:w="2088" w:type="dxa"/>
          </w:tcPr>
          <w:p w:rsidR="0043584C" w:rsidRPr="0043584C" w:rsidRDefault="0043584C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730" w:type="dxa"/>
          </w:tcPr>
          <w:p w:rsidR="0043584C" w:rsidRPr="0043584C" w:rsidRDefault="0043584C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3584C" w:rsidRPr="0043584C" w:rsidTr="00AA29AC">
        <w:tc>
          <w:tcPr>
            <w:tcW w:w="2088" w:type="dxa"/>
          </w:tcPr>
          <w:p w:rsidR="0043584C" w:rsidRPr="0043584C" w:rsidRDefault="0043584C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730" w:type="dxa"/>
          </w:tcPr>
          <w:p w:rsidR="0043584C" w:rsidRPr="0043584C" w:rsidRDefault="0043584C" w:rsidP="00D00D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B2AF6" w:rsidRDefault="00E21DDA" w:rsidP="0043584C">
      <w:bookmarkStart w:id="0" w:name="_GoBack"/>
      <w:bookmarkEnd w:id="0"/>
    </w:p>
    <w:sectPr w:rsidR="00DB2AF6" w:rsidSect="00AA29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4C"/>
    <w:rsid w:val="000E47B1"/>
    <w:rsid w:val="00177DB4"/>
    <w:rsid w:val="0025118D"/>
    <w:rsid w:val="0043584C"/>
    <w:rsid w:val="00A037E2"/>
    <w:rsid w:val="00AA29AC"/>
    <w:rsid w:val="00CE55EA"/>
    <w:rsid w:val="00E21DDA"/>
    <w:rsid w:val="00FA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84C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8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8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5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84C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8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8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5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0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3</cp:revision>
  <dcterms:created xsi:type="dcterms:W3CDTF">2016-03-15T17:41:00Z</dcterms:created>
  <dcterms:modified xsi:type="dcterms:W3CDTF">2016-03-15T18:02:00Z</dcterms:modified>
</cp:coreProperties>
</file>